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A2" w:rsidRDefault="00855FA2" w:rsidP="00A6407D">
      <w:pPr>
        <w:pStyle w:val="Heading2"/>
        <w:spacing w:before="0" w:line="240" w:lineRule="auto"/>
        <w:ind w:right="662"/>
        <w:jc w:val="center"/>
        <w:rPr>
          <w:rFonts w:asciiTheme="majorBidi" w:hAnsiTheme="majorBidi"/>
          <w:sz w:val="24"/>
          <w:szCs w:val="24"/>
        </w:rPr>
      </w:pPr>
      <w:r w:rsidRPr="00C42200">
        <w:rPr>
          <w:rFonts w:asciiTheme="majorBidi" w:hAnsiTheme="majorBidi"/>
          <w:sz w:val="24"/>
          <w:szCs w:val="24"/>
        </w:rPr>
        <w:t>The Septuagint (LXX)</w:t>
      </w:r>
    </w:p>
    <w:p w:rsidR="00A6407D" w:rsidRPr="00A6407D" w:rsidRDefault="00A6407D" w:rsidP="00A6407D">
      <w:pPr>
        <w:ind w:right="662"/>
        <w:jc w:val="center"/>
        <w:rPr>
          <w:rFonts w:asciiTheme="majorBidi" w:hAnsiTheme="majorBidi" w:cstheme="majorBidi"/>
        </w:rPr>
      </w:pPr>
      <w:r w:rsidRPr="00A6407D">
        <w:rPr>
          <w:rFonts w:asciiTheme="majorBidi" w:hAnsiTheme="majorBidi" w:cstheme="majorBidi"/>
        </w:rPr>
        <w:t xml:space="preserve">(J.K. </w:t>
      </w:r>
      <w:proofErr w:type="spellStart"/>
      <w:r w:rsidRPr="00A6407D">
        <w:rPr>
          <w:rFonts w:asciiTheme="majorBidi" w:hAnsiTheme="majorBidi" w:cstheme="majorBidi"/>
        </w:rPr>
        <w:t>Aitken</w:t>
      </w:r>
      <w:proofErr w:type="spellEnd"/>
      <w:r>
        <w:rPr>
          <w:rFonts w:asciiTheme="majorBidi" w:hAnsiTheme="majorBidi" w:cstheme="majorBidi"/>
        </w:rPr>
        <w:t>,</w:t>
      </w:r>
      <w:r w:rsidRPr="00A6407D">
        <w:rPr>
          <w:rFonts w:asciiTheme="majorBidi" w:hAnsiTheme="majorBidi" w:cstheme="majorBidi"/>
        </w:rPr>
        <w:t xml:space="preserve"> Feb 2012)</w:t>
      </w:r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hAnsiTheme="majorBidi" w:cstheme="majorBidi"/>
          <w:sz w:val="24"/>
          <w:szCs w:val="24"/>
        </w:rPr>
      </w:pPr>
    </w:p>
    <w:p w:rsidR="00855FA2" w:rsidRPr="00C42200" w:rsidRDefault="00855FA2" w:rsidP="00BD5E90">
      <w:pPr>
        <w:pStyle w:val="Heading3"/>
        <w:spacing w:before="0" w:line="240" w:lineRule="auto"/>
        <w:ind w:right="662"/>
        <w:rPr>
          <w:rFonts w:asciiTheme="majorBidi" w:eastAsia="Times New Roman" w:hAnsiTheme="majorBidi"/>
          <w:sz w:val="24"/>
          <w:szCs w:val="24"/>
        </w:rPr>
      </w:pPr>
      <w:r w:rsidRPr="00C42200">
        <w:rPr>
          <w:rFonts w:asciiTheme="majorBidi" w:eastAsia="Times New Roman" w:hAnsiTheme="majorBidi"/>
          <w:sz w:val="24"/>
          <w:szCs w:val="24"/>
        </w:rPr>
        <w:t>Introductions</w:t>
      </w:r>
      <w:r w:rsidR="00A6407D">
        <w:rPr>
          <w:rFonts w:asciiTheme="majorBidi" w:eastAsia="Times New Roman" w:hAnsiTheme="majorBidi"/>
          <w:sz w:val="24"/>
          <w:szCs w:val="24"/>
        </w:rPr>
        <w:t xml:space="preserve"> to the Septuagint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Dines, J.M.,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The Septuagint 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>(London: T&amp;T Clark, 2004) [Readable introduction for students, including placing it within its historical context].</w:t>
      </w:r>
    </w:p>
    <w:p w:rsidR="00855FA2" w:rsidRPr="00C42200" w:rsidRDefault="00855FA2" w:rsidP="00BD5E90">
      <w:pPr>
        <w:spacing w:after="0" w:line="240" w:lineRule="auto"/>
        <w:ind w:left="565" w:right="662" w:hanging="556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Dorival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Harl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&amp;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Munnich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La Bible </w:t>
      </w:r>
      <w:proofErr w:type="spell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grecque</w:t>
      </w:r>
      <w:proofErr w:type="spellEnd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 des </w:t>
      </w:r>
      <w:proofErr w:type="spell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Septante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(Paris: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Éditions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du Cerf /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Éditions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du C.N.R.S., 1988) [The most up-to-date scholarly introduction and discussion of all issues – sadly, already out of print, but online at:</w:t>
      </w:r>
      <w:r w:rsidRPr="00C42200">
        <w:rPr>
          <w:rFonts w:asciiTheme="majorBidi" w:hAnsiTheme="majorBidi" w:cstheme="majorBidi"/>
          <w:sz w:val="24"/>
          <w:szCs w:val="24"/>
        </w:rPr>
        <w:tab/>
      </w:r>
      <w:r w:rsidRPr="00C42200">
        <w:rPr>
          <w:rFonts w:asciiTheme="majorBidi" w:eastAsia="Times New Roman" w:hAnsiTheme="majorBidi" w:cstheme="majorBidi"/>
          <w:sz w:val="24"/>
          <w:szCs w:val="24"/>
        </w:rPr>
        <w:br/>
        <w:t>http://bibliotheque.editionsducerf.fr/par%20page/561/TM.htm].</w:t>
      </w:r>
    </w:p>
    <w:p w:rsidR="00855FA2" w:rsidRPr="00C42200" w:rsidRDefault="00855FA2" w:rsidP="00BD5E90">
      <w:pPr>
        <w:spacing w:after="0" w:line="240" w:lineRule="auto"/>
        <w:ind w:left="565" w:right="662" w:hanging="556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Hengel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M. </w:t>
      </w:r>
      <w:r w:rsidRPr="00C42200">
        <w:rPr>
          <w:rStyle w:val="booktitle1"/>
          <w:rFonts w:asciiTheme="majorBidi" w:eastAsia="Times New Roman" w:hAnsiTheme="majorBidi" w:cstheme="majorBidi"/>
          <w:i/>
          <w:iCs/>
        </w:rPr>
        <w:t>The Septuagint as Christian Scripture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: </w:t>
      </w:r>
      <w:r w:rsidRPr="00C42200">
        <w:rPr>
          <w:rStyle w:val="bookinfo1"/>
          <w:rFonts w:asciiTheme="majorBidi" w:eastAsia="Times New Roman" w:hAnsiTheme="majorBidi" w:cstheme="majorBidi"/>
          <w:i/>
          <w:iCs/>
          <w:sz w:val="24"/>
          <w:szCs w:val="24"/>
        </w:rPr>
        <w:t>Its Prehistory and the Problem of Its Canon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(Old Testament Studies; T &amp; T Clark, 2002). [On the early Christian use]</w:t>
      </w:r>
    </w:p>
    <w:p w:rsidR="00855FA2" w:rsidRPr="00C42200" w:rsidRDefault="00855FA2" w:rsidP="00BD5E90">
      <w:pPr>
        <w:spacing w:after="0" w:line="240" w:lineRule="auto"/>
        <w:ind w:left="565" w:right="662" w:hanging="556"/>
        <w:rPr>
          <w:rFonts w:asciiTheme="majorBidi" w:eastAsia="Times New Roman" w:hAnsiTheme="majorBidi" w:cstheme="majorBidi"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Jellicoe, Sidney, </w:t>
      </w:r>
      <w:proofErr w:type="gram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The</w:t>
      </w:r>
      <w:proofErr w:type="gramEnd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 Septuagint and modern study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(Oxford: Clarendon P., 1968).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[An updating of the information in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Swete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(below).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Highly technical]</w:t>
      </w:r>
    </w:p>
    <w:p w:rsidR="00855FA2" w:rsidRPr="00C42200" w:rsidRDefault="00855FA2" w:rsidP="00BD5E90">
      <w:pPr>
        <w:spacing w:after="0" w:line="240" w:lineRule="auto"/>
        <w:ind w:left="565" w:right="662" w:hanging="556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Jobes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Karen H. and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Moises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Silva, </w:t>
      </w:r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Invitation to the Septuagint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(Grand Rapids, Mich.; Carlisle: Baker Books: Paternoster, 2000) [The latest introduction to LXX, aimed at students or those new to the field]</w:t>
      </w:r>
    </w:p>
    <w:p w:rsidR="003E5327" w:rsidRPr="00C42200" w:rsidRDefault="003E5327" w:rsidP="00BD5E90">
      <w:pPr>
        <w:spacing w:after="0" w:line="240" w:lineRule="auto"/>
        <w:ind w:left="565" w:right="662" w:hanging="556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McLay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R. Tim,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The Use of the Septuagint in New Testament Research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(Grand Rapids, Mich.;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Cambridge :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W.B.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Eerdmans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, 2003).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proofErr w:type="gramStart"/>
      <w:r w:rsidRPr="00C42200">
        <w:rPr>
          <w:rFonts w:asciiTheme="majorBidi" w:hAnsiTheme="majorBidi" w:cstheme="majorBidi"/>
          <w:sz w:val="24"/>
          <w:szCs w:val="24"/>
        </w:rPr>
        <w:t>Swete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>, H.B.,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An Introduction to the Old Testament in Greek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(Cambridge, 1900) [The classic essay on the Septuagint by H.B.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Swete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, one of the significant critical scholars of the LXX text.]</w:t>
      </w:r>
      <w:proofErr w:type="gramEnd"/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eastAsia="Times New Roman" w:hAnsiTheme="majorBidi" w:cstheme="majorBidi"/>
          <w:b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b/>
          <w:sz w:val="24"/>
          <w:szCs w:val="24"/>
        </w:rPr>
        <w:t>Translations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Pietersma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, A. &amp; B.G. Wright (</w:t>
      </w:r>
      <w:proofErr w:type="spellStart"/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eds</w:t>
      </w:r>
      <w:proofErr w:type="spellEnd"/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),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NETS: </w:t>
      </w:r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A New English Translation of the Septuagint 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>(New York/Oxford: Oxford University Press, 2000) [A new translation, in accordance with the NRSV. Commentaries on the translation will follow in the future]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Brenton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, Lancelot Charles Lee 1844.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The Septuagint Version of the Old Testament, According to the Vatican Text, Translated into English: with the Principal Various Readings of the Alexandrine Coy, and A Table of Comparative Chronology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.  2 vols. London: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Bagster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. [Until NETS, the only complete translation still in print; now in 1 volume]</w:t>
      </w:r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eastAsia="Times New Roman" w:hAnsiTheme="majorBidi" w:cstheme="majorBidi"/>
          <w:b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b/>
          <w:sz w:val="24"/>
          <w:szCs w:val="24"/>
        </w:rPr>
        <w:t>Commentaries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Harl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M. (general editor), </w:t>
      </w:r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La Bible </w:t>
      </w:r>
      <w:proofErr w:type="spell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d’Alexandrie</w:t>
      </w:r>
      <w:proofErr w:type="spellEnd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: </w:t>
      </w:r>
      <w:proofErr w:type="spell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traduction</w:t>
      </w:r>
      <w:proofErr w:type="spellEnd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 du </w:t>
      </w:r>
      <w:proofErr w:type="spell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texte</w:t>
      </w:r>
      <w:proofErr w:type="spellEnd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 </w:t>
      </w:r>
      <w:proofErr w:type="spell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grec</w:t>
      </w:r>
      <w:proofErr w:type="spellEnd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 xml:space="preserve"> de la </w:t>
      </w:r>
      <w:proofErr w:type="spellStart"/>
      <w:r w:rsidRPr="00C42200">
        <w:rPr>
          <w:rFonts w:asciiTheme="majorBidi" w:eastAsia="Times New Roman" w:hAnsiTheme="majorBidi" w:cstheme="majorBidi"/>
          <w:i/>
          <w:sz w:val="24"/>
          <w:szCs w:val="24"/>
        </w:rPr>
        <w:t>Septante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(Paris: Cerf, 1986). [Excellent commentary series in French, still in progress but so far covering: v. 1. La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Genese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/ intr.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et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notes par Marguerite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Harl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[et al.] -- v. 2.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L’Exode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/ intr.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et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notes par Alain Le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Boulluec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et Pierre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Sandevoir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-- v. 3. Le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Levitique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/ intr.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et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notes par Paul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Harle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et Didier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Pralon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-- v. 4. Les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Nombres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/ intr.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et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notes par Gilles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Dorival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[et al.] -- v. 5. Le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Deuteronome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/ intr. et notes par Cecile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Dogniez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et Marguerite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Harl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-- v. 6: Jesus (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Josue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)/ par Jacqueline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Moatti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-Fine -- v.7: Les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Juges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/ par Paul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Harle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-- v. 9: Premier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Livre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des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Regnes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/ par Bernard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Grillet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et Michel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Lestienne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-- v. 17: Les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Proverbes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/ par David-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Marc 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d'Hamonville</w:t>
      </w:r>
      <w:proofErr w:type="spellEnd"/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-- v. 23.: Les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Douze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Prophetes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4-9/ par Marguerite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Harl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et al.]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855FA2" w:rsidRPr="00C42200" w:rsidRDefault="00855FA2" w:rsidP="00BD5E90">
      <w:pPr>
        <w:pStyle w:val="Heading1"/>
        <w:spacing w:before="0" w:line="240" w:lineRule="auto"/>
        <w:ind w:right="662"/>
        <w:rPr>
          <w:rFonts w:asciiTheme="majorBidi" w:eastAsia="Times New Roman" w:hAnsiTheme="majorBidi"/>
          <w:sz w:val="24"/>
          <w:szCs w:val="24"/>
        </w:rPr>
      </w:pPr>
      <w:r w:rsidRPr="00C42200">
        <w:rPr>
          <w:rFonts w:asciiTheme="majorBidi" w:eastAsia="Times New Roman" w:hAnsiTheme="majorBidi"/>
          <w:sz w:val="24"/>
          <w:szCs w:val="24"/>
        </w:rPr>
        <w:t>Bibliographies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lastRenderedPageBreak/>
        <w:t xml:space="preserve">Brock, S.P.,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A Classified Bibliography of the Septuagint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ALGhJ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6; Leiden: Brill, 1973).</w:t>
      </w:r>
      <w:proofErr w:type="gramEnd"/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Dogniez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C.,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Bibliography of the Septuagint (1970-1993)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VTSuppl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. 60; Leiden: Brill, 1995).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b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b/>
          <w:sz w:val="24"/>
          <w:szCs w:val="24"/>
        </w:rPr>
        <w:t>Studies on the Language</w:t>
      </w:r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Lexicons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Taylor, </w:t>
      </w:r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 xml:space="preserve">Bernard A., </w:t>
      </w:r>
      <w:proofErr w:type="gramStart"/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The</w:t>
      </w:r>
      <w:proofErr w:type="gramEnd"/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Analytical Lexicon to the Septuagint</w:t>
      </w:r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 xml:space="preserve"> (</w:t>
      </w:r>
      <w:proofErr w:type="spellStart"/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>Zondervan</w:t>
      </w:r>
      <w:proofErr w:type="spellEnd"/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>, 1994).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>more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of a parsing guide than a lexicon. It provides an English gloss and parses (in alphabetical or</w:t>
      </w:r>
      <w:r w:rsidR="008C168A">
        <w:rPr>
          <w:rFonts w:asciiTheme="majorBidi" w:eastAsia="Times New Roman" w:hAnsiTheme="majorBidi" w:cstheme="majorBidi"/>
          <w:sz w:val="24"/>
          <w:szCs w:val="24"/>
        </w:rPr>
        <w:t xml:space="preserve">der) all words found in </w:t>
      </w:r>
      <w:proofErr w:type="spellStart"/>
      <w:r w:rsidR="008C168A">
        <w:rPr>
          <w:rFonts w:asciiTheme="majorBidi" w:eastAsia="Times New Roman" w:hAnsiTheme="majorBidi" w:cstheme="majorBidi"/>
          <w:sz w:val="24"/>
          <w:szCs w:val="24"/>
        </w:rPr>
        <w:t>Rahlfs’s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Septuaginta</w:t>
      </w:r>
      <w:proofErr w:type="spellEnd"/>
      <w:r w:rsidR="008C168A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Lust, </w:t>
      </w:r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 xml:space="preserve">Johan, 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Erik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Eynikel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and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Katrin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Hauspie (eds.),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Greek-English Lexicon of the Septuagint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(Revised edition; American Bible Society, 2004).</w:t>
      </w:r>
      <w:proofErr w:type="gram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This work has entries for every work found in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Rahlfs's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Septuaginta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. This revised one-volume edition brings together the revised text of the first volume published in 1992, and the slightly reworked text of the second part published in 1996. 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Muraoka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>Takamitsu</w:t>
      </w:r>
      <w:proofErr w:type="spellEnd"/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gramStart"/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A</w:t>
      </w:r>
      <w:proofErr w:type="gramEnd"/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Greek-English Lexicon of the Septuagint 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>(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Peeters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2009). This recently completed lexicon is by far the best lexicon of the LXX available as it provides far more than just English glosses and parsing. </w:t>
      </w:r>
      <w:proofErr w:type="gramStart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Based on the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Göttingen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Septuagint where available.</w:t>
      </w:r>
      <w:proofErr w:type="gramEnd"/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Hatch, </w:t>
      </w:r>
      <w:r w:rsidR="003E5327" w:rsidRPr="00C42200">
        <w:rPr>
          <w:rFonts w:asciiTheme="majorBidi" w:eastAsia="Times New Roman" w:hAnsiTheme="majorBidi" w:cstheme="majorBidi"/>
          <w:sz w:val="24"/>
          <w:szCs w:val="24"/>
        </w:rPr>
        <w:t xml:space="preserve">Edwin, 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Henry A.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Redpath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A Concordance to the Septuagint: and the other Greek Versions of the Old Testament - Including the Apocryphal Books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(Second edition, two volumes in one; Includes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Muraoka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>, "Hebrew/Aramai</w:t>
      </w:r>
      <w:r w:rsidR="00B72B72" w:rsidRPr="00C42200">
        <w:rPr>
          <w:rFonts w:asciiTheme="majorBidi" w:eastAsia="Times New Roman" w:hAnsiTheme="majorBidi" w:cstheme="majorBidi"/>
          <w:sz w:val="24"/>
          <w:szCs w:val="24"/>
        </w:rPr>
        <w:t>c Index"; Baker Academic, 1998).</w:t>
      </w:r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855FA2" w:rsidRPr="00C42200" w:rsidRDefault="00855FA2" w:rsidP="00BD5E90">
      <w:pPr>
        <w:spacing w:after="0" w:line="240" w:lineRule="auto"/>
        <w:ind w:right="662"/>
        <w:jc w:val="both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Grammars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sz w:val="24"/>
          <w:szCs w:val="24"/>
        </w:rPr>
        <w:t>Thackeray,</w:t>
      </w:r>
      <w:r w:rsidR="00B72B72" w:rsidRPr="00C42200">
        <w:rPr>
          <w:rFonts w:asciiTheme="majorBidi" w:eastAsia="Times New Roman" w:hAnsiTheme="majorBidi" w:cstheme="majorBidi"/>
          <w:sz w:val="24"/>
          <w:szCs w:val="24"/>
        </w:rPr>
        <w:t xml:space="preserve"> H. St. J.,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gramStart"/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A</w:t>
      </w:r>
      <w:proofErr w:type="gramEnd"/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Grammar of the Old Testament in Greek: According to the Septuagint. Vol. 1: Introduction, Orthography, and Accidence 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(Cambridge University Press, 1909; reprint G.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Olms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1978). </w:t>
      </w:r>
    </w:p>
    <w:p w:rsidR="00855FA2" w:rsidRPr="00C42200" w:rsidRDefault="00855FA2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Conybeare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="00B72B72" w:rsidRPr="00C42200">
        <w:rPr>
          <w:rFonts w:asciiTheme="majorBidi" w:eastAsia="Times New Roman" w:hAnsiTheme="majorBidi" w:cstheme="majorBidi"/>
          <w:sz w:val="24"/>
          <w:szCs w:val="24"/>
        </w:rPr>
        <w:t xml:space="preserve">F. C.,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Grammar of Septuagint Greek: With Selected Readings, Vocabularies, and Updated Indexes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(Hendrickson; reissue edition, 2001). A reprint of Selections from the Septuagin</w:t>
      </w:r>
      <w:r w:rsidR="008C168A">
        <w:rPr>
          <w:rFonts w:asciiTheme="majorBidi" w:eastAsia="Times New Roman" w:hAnsiTheme="majorBidi" w:cstheme="majorBidi"/>
          <w:sz w:val="24"/>
          <w:szCs w:val="24"/>
        </w:rPr>
        <w:t>t (1905), this work includes an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introduction to the LXX, a grammar section primarily covering accidence and syntax, followed by selected readings with in-depth introductions and full textual and grammatical notes.</w:t>
      </w:r>
    </w:p>
    <w:p w:rsidR="003E5327" w:rsidRPr="00C42200" w:rsidRDefault="003E5327" w:rsidP="00BD5E90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855FA2" w:rsidRPr="00C42200" w:rsidRDefault="00855FA2" w:rsidP="00BD5E90">
      <w:pPr>
        <w:pStyle w:val="Heading2"/>
        <w:spacing w:before="0" w:line="240" w:lineRule="auto"/>
        <w:rPr>
          <w:rFonts w:asciiTheme="majorBidi" w:hAnsiTheme="majorBidi"/>
          <w:sz w:val="24"/>
          <w:szCs w:val="24"/>
        </w:rPr>
      </w:pPr>
      <w:r w:rsidRPr="00C42200">
        <w:rPr>
          <w:rFonts w:asciiTheme="majorBidi" w:hAnsiTheme="majorBidi"/>
          <w:sz w:val="24"/>
          <w:szCs w:val="24"/>
        </w:rPr>
        <w:t>Interlinear Issues</w:t>
      </w:r>
    </w:p>
    <w:p w:rsidR="00855FA2" w:rsidRPr="00C42200" w:rsidRDefault="00855FA2" w:rsidP="00BD5E90">
      <w:pPr>
        <w:spacing w:after="0" w:line="240" w:lineRule="auto"/>
        <w:ind w:left="567" w:right="662" w:hanging="567"/>
        <w:rPr>
          <w:rFonts w:asciiTheme="majorBidi" w:hAnsiTheme="majorBidi" w:cstheme="majorBidi"/>
          <w:sz w:val="24"/>
          <w:szCs w:val="24"/>
        </w:rPr>
      </w:pPr>
      <w:r w:rsidRPr="00C42200">
        <w:rPr>
          <w:rFonts w:asciiTheme="majorBidi" w:hAnsiTheme="majorBidi" w:cstheme="majorBidi"/>
          <w:sz w:val="24"/>
          <w:szCs w:val="24"/>
        </w:rPr>
        <w:t xml:space="preserve">Brock, S.P., </w:t>
      </w:r>
      <w:r w:rsidR="00B72B72" w:rsidRPr="00C42200">
        <w:rPr>
          <w:rFonts w:asciiTheme="majorBidi" w:hAnsiTheme="majorBidi" w:cstheme="majorBidi"/>
          <w:sz w:val="24"/>
          <w:szCs w:val="24"/>
        </w:rPr>
        <w:t>“</w:t>
      </w:r>
      <w:r w:rsidRPr="00C42200">
        <w:rPr>
          <w:rFonts w:asciiTheme="majorBidi" w:hAnsiTheme="majorBidi" w:cstheme="majorBidi"/>
          <w:sz w:val="24"/>
          <w:szCs w:val="24"/>
        </w:rPr>
        <w:t>The Phenomenon of the Septuagint,</w:t>
      </w:r>
      <w:r w:rsidR="00B72B72" w:rsidRPr="00C42200">
        <w:rPr>
          <w:rFonts w:asciiTheme="majorBidi" w:hAnsiTheme="majorBidi" w:cstheme="majorBidi"/>
          <w:sz w:val="24"/>
          <w:szCs w:val="24"/>
        </w:rPr>
        <w:t>”</w:t>
      </w:r>
      <w:r w:rsidRPr="00C42200">
        <w:rPr>
          <w:rFonts w:asciiTheme="majorBidi" w:hAnsiTheme="majorBidi" w:cstheme="majorBidi"/>
          <w:sz w:val="24"/>
          <w:szCs w:val="24"/>
        </w:rPr>
        <w:t xml:space="preserve"> </w:t>
      </w:r>
      <w:r w:rsidRPr="00C42200">
        <w:rPr>
          <w:rFonts w:asciiTheme="majorBidi" w:hAnsiTheme="majorBidi" w:cstheme="majorBidi"/>
          <w:i/>
          <w:iCs/>
          <w:sz w:val="24"/>
          <w:szCs w:val="24"/>
        </w:rPr>
        <w:t>OTS</w:t>
      </w:r>
      <w:r w:rsidRPr="00C42200">
        <w:rPr>
          <w:rFonts w:asciiTheme="majorBidi" w:hAnsiTheme="majorBidi" w:cstheme="majorBidi"/>
          <w:sz w:val="24"/>
          <w:szCs w:val="24"/>
        </w:rPr>
        <w:t xml:space="preserve"> 17 (1972) 11-36.</w:t>
      </w:r>
    </w:p>
    <w:p w:rsidR="00855FA2" w:rsidRPr="00C42200" w:rsidRDefault="00855FA2" w:rsidP="00BD5E90">
      <w:pPr>
        <w:spacing w:after="0" w:line="240" w:lineRule="auto"/>
        <w:ind w:left="567" w:right="662" w:hanging="567"/>
        <w:rPr>
          <w:rFonts w:asciiTheme="majorBidi" w:hAnsiTheme="majorBidi" w:cstheme="majorBidi"/>
          <w:sz w:val="24"/>
          <w:szCs w:val="24"/>
        </w:rPr>
      </w:pPr>
      <w:r w:rsidRPr="00C42200">
        <w:rPr>
          <w:rFonts w:asciiTheme="majorBidi" w:hAnsiTheme="majorBidi" w:cstheme="majorBidi"/>
          <w:sz w:val="24"/>
          <w:szCs w:val="24"/>
        </w:rPr>
        <w:t xml:space="preserve">Brock, S.P., “Aspects of Translation Technique in Antiquity,” </w:t>
      </w:r>
      <w:r w:rsidRPr="00C42200">
        <w:rPr>
          <w:rFonts w:asciiTheme="majorBidi" w:hAnsiTheme="majorBidi" w:cstheme="majorBidi"/>
          <w:i/>
          <w:iCs/>
          <w:sz w:val="24"/>
          <w:szCs w:val="24"/>
        </w:rPr>
        <w:t>Greek, Roman and Byzantine Studies</w:t>
      </w:r>
      <w:r w:rsidRPr="00C42200">
        <w:rPr>
          <w:rFonts w:asciiTheme="majorBidi" w:hAnsiTheme="majorBidi" w:cstheme="majorBidi"/>
          <w:sz w:val="24"/>
          <w:szCs w:val="24"/>
        </w:rPr>
        <w:t xml:space="preserve"> 20</w:t>
      </w:r>
      <w:r w:rsidR="00B72B72" w:rsidRPr="00C42200">
        <w:rPr>
          <w:rFonts w:asciiTheme="majorBidi" w:hAnsiTheme="majorBidi" w:cstheme="majorBidi"/>
          <w:sz w:val="24"/>
          <w:szCs w:val="24"/>
        </w:rPr>
        <w:t xml:space="preserve"> (1979)</w:t>
      </w:r>
      <w:r w:rsidRPr="00C42200">
        <w:rPr>
          <w:rFonts w:asciiTheme="majorBidi" w:hAnsiTheme="majorBidi" w:cstheme="majorBidi"/>
          <w:sz w:val="24"/>
          <w:szCs w:val="24"/>
        </w:rPr>
        <w:t>: 69-87.</w:t>
      </w:r>
    </w:p>
    <w:p w:rsidR="00855FA2" w:rsidRPr="00C42200" w:rsidRDefault="00855FA2" w:rsidP="00BD5E90">
      <w:pPr>
        <w:spacing w:after="0" w:line="240" w:lineRule="auto"/>
        <w:ind w:left="567" w:right="662" w:hanging="567"/>
        <w:rPr>
          <w:rFonts w:asciiTheme="majorBidi" w:hAnsiTheme="majorBidi" w:cstheme="majorBidi"/>
          <w:sz w:val="24"/>
          <w:szCs w:val="24"/>
        </w:rPr>
      </w:pPr>
      <w:r w:rsidRPr="00C42200">
        <w:rPr>
          <w:rFonts w:asciiTheme="majorBidi" w:hAnsiTheme="majorBidi" w:cstheme="majorBidi"/>
          <w:sz w:val="24"/>
          <w:szCs w:val="24"/>
        </w:rPr>
        <w:t>Brock, Sebastian</w:t>
      </w:r>
      <w:r w:rsidR="00B72B72" w:rsidRPr="00C42200">
        <w:rPr>
          <w:rFonts w:asciiTheme="majorBidi" w:hAnsiTheme="majorBidi" w:cstheme="majorBidi"/>
          <w:sz w:val="24"/>
          <w:szCs w:val="24"/>
        </w:rPr>
        <w:t xml:space="preserve"> P., “To Revise or Not to Revise</w:t>
      </w:r>
      <w:r w:rsidRPr="00C42200">
        <w:rPr>
          <w:rFonts w:asciiTheme="majorBidi" w:hAnsiTheme="majorBidi" w:cstheme="majorBidi"/>
          <w:sz w:val="24"/>
          <w:szCs w:val="24"/>
        </w:rPr>
        <w:t>: Attitudes</w:t>
      </w:r>
      <w:r w:rsidR="00B72B72" w:rsidRPr="00C42200">
        <w:rPr>
          <w:rFonts w:asciiTheme="majorBidi" w:hAnsiTheme="majorBidi" w:cstheme="majorBidi"/>
          <w:sz w:val="24"/>
          <w:szCs w:val="24"/>
        </w:rPr>
        <w:t xml:space="preserve"> to Jewish Biblical Translation,”</w:t>
      </w:r>
      <w:r w:rsidRPr="00C42200">
        <w:rPr>
          <w:rFonts w:asciiTheme="majorBidi" w:hAnsiTheme="majorBidi" w:cstheme="majorBidi"/>
          <w:sz w:val="24"/>
          <w:szCs w:val="24"/>
        </w:rPr>
        <w:t xml:space="preserve"> </w:t>
      </w:r>
      <w:r w:rsidRPr="00C42200">
        <w:rPr>
          <w:rFonts w:asciiTheme="majorBidi" w:hAnsiTheme="majorBidi" w:cstheme="majorBidi"/>
          <w:i/>
          <w:iCs/>
          <w:sz w:val="24"/>
          <w:szCs w:val="24"/>
        </w:rPr>
        <w:t>Septuagint, Scrolls and Cognate Writings</w:t>
      </w:r>
      <w:r w:rsidRPr="00C42200">
        <w:rPr>
          <w:rFonts w:asciiTheme="majorBidi" w:hAnsiTheme="majorBidi" w:cstheme="majorBidi"/>
          <w:sz w:val="24"/>
          <w:szCs w:val="24"/>
        </w:rPr>
        <w:t xml:space="preserve"> </w:t>
      </w:r>
      <w:r w:rsidR="00B72B72" w:rsidRPr="00C42200">
        <w:rPr>
          <w:rFonts w:asciiTheme="majorBidi" w:hAnsiTheme="majorBidi" w:cstheme="majorBidi"/>
          <w:sz w:val="24"/>
          <w:szCs w:val="24"/>
        </w:rPr>
        <w:t>(</w:t>
      </w:r>
      <w:r w:rsidRPr="00C42200">
        <w:rPr>
          <w:rFonts w:asciiTheme="majorBidi" w:hAnsiTheme="majorBidi" w:cstheme="majorBidi"/>
          <w:sz w:val="24"/>
          <w:szCs w:val="24"/>
        </w:rPr>
        <w:t>Atlanta: Scholars Pr</w:t>
      </w:r>
      <w:r w:rsidR="00B72B72" w:rsidRPr="00C42200">
        <w:rPr>
          <w:rFonts w:asciiTheme="majorBidi" w:hAnsiTheme="majorBidi" w:cstheme="majorBidi"/>
          <w:sz w:val="24"/>
          <w:szCs w:val="24"/>
        </w:rPr>
        <w:t>ess</w:t>
      </w:r>
      <w:r w:rsidRPr="00C42200">
        <w:rPr>
          <w:rFonts w:asciiTheme="majorBidi" w:hAnsiTheme="majorBidi" w:cstheme="majorBidi"/>
          <w:sz w:val="24"/>
          <w:szCs w:val="24"/>
        </w:rPr>
        <w:t>, 1992</w:t>
      </w:r>
      <w:r w:rsidR="00B72B72" w:rsidRPr="00C42200">
        <w:rPr>
          <w:rFonts w:asciiTheme="majorBidi" w:hAnsiTheme="majorBidi" w:cstheme="majorBidi"/>
          <w:sz w:val="24"/>
          <w:szCs w:val="24"/>
        </w:rPr>
        <w:t>), 301-38</w:t>
      </w:r>
      <w:r w:rsidRPr="00C42200">
        <w:rPr>
          <w:rFonts w:asciiTheme="majorBidi" w:hAnsiTheme="majorBidi" w:cstheme="majorBidi"/>
          <w:sz w:val="24"/>
          <w:szCs w:val="24"/>
        </w:rPr>
        <w:t>.</w:t>
      </w:r>
    </w:p>
    <w:p w:rsidR="00855FA2" w:rsidRPr="00C42200" w:rsidRDefault="00855FA2" w:rsidP="00BD5E90">
      <w:pPr>
        <w:spacing w:after="0" w:line="240" w:lineRule="auto"/>
        <w:ind w:left="567" w:right="662" w:hanging="567"/>
        <w:rPr>
          <w:rFonts w:asciiTheme="majorBidi" w:hAnsiTheme="majorBidi" w:cstheme="majorBidi"/>
          <w:sz w:val="24"/>
          <w:szCs w:val="24"/>
        </w:rPr>
      </w:pPr>
      <w:proofErr w:type="spellStart"/>
      <w:r w:rsidRPr="00C42200">
        <w:rPr>
          <w:rFonts w:asciiTheme="majorBidi" w:hAnsiTheme="majorBidi" w:cstheme="majorBidi"/>
          <w:sz w:val="24"/>
          <w:szCs w:val="24"/>
        </w:rPr>
        <w:t>Joosten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, Jan, “Reflections on the ‘Interlinear Paradigm’ in </w:t>
      </w:r>
      <w:proofErr w:type="spellStart"/>
      <w:r w:rsidRPr="00C42200">
        <w:rPr>
          <w:rFonts w:asciiTheme="majorBidi" w:hAnsiTheme="majorBidi" w:cstheme="majorBidi"/>
          <w:sz w:val="24"/>
          <w:szCs w:val="24"/>
        </w:rPr>
        <w:t>Septuagintal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 Studies,” in </w:t>
      </w:r>
      <w:proofErr w:type="spellStart"/>
      <w:r w:rsidRPr="00C42200">
        <w:rPr>
          <w:rFonts w:asciiTheme="majorBidi" w:hAnsiTheme="majorBidi" w:cstheme="majorBidi"/>
          <w:sz w:val="24"/>
          <w:szCs w:val="24"/>
        </w:rPr>
        <w:t>Voitila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42200">
        <w:rPr>
          <w:rFonts w:asciiTheme="majorBidi" w:hAnsiTheme="majorBidi" w:cstheme="majorBidi"/>
          <w:sz w:val="24"/>
          <w:szCs w:val="24"/>
        </w:rPr>
        <w:t>Anssi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C42200">
        <w:rPr>
          <w:rFonts w:asciiTheme="majorBidi" w:hAnsiTheme="majorBidi" w:cstheme="majorBidi"/>
          <w:sz w:val="24"/>
          <w:szCs w:val="24"/>
        </w:rPr>
        <w:t>Jutta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2200">
        <w:rPr>
          <w:rFonts w:asciiTheme="majorBidi" w:hAnsiTheme="majorBidi" w:cstheme="majorBidi"/>
          <w:sz w:val="24"/>
          <w:szCs w:val="24"/>
        </w:rPr>
        <w:t>Jokiranta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 (eds.) Script</w:t>
      </w:r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ure in Transition: Essays on Septuagint, Hebrew Bible, and Dead Sea Scrolls in </w:t>
      </w:r>
      <w:proofErr w:type="spellStart"/>
      <w:r w:rsidRPr="00C42200">
        <w:rPr>
          <w:rFonts w:asciiTheme="majorBidi" w:hAnsiTheme="majorBidi" w:cstheme="majorBidi"/>
          <w:i/>
          <w:iCs/>
          <w:sz w:val="24"/>
          <w:szCs w:val="24"/>
        </w:rPr>
        <w:t>Honour</w:t>
      </w:r>
      <w:proofErr w:type="spellEnd"/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 of </w:t>
      </w:r>
      <w:proofErr w:type="spellStart"/>
      <w:r w:rsidRPr="00C42200">
        <w:rPr>
          <w:rFonts w:asciiTheme="majorBidi" w:hAnsiTheme="majorBidi" w:cstheme="majorBidi"/>
          <w:i/>
          <w:iCs/>
          <w:sz w:val="24"/>
          <w:szCs w:val="24"/>
        </w:rPr>
        <w:t>Raija</w:t>
      </w:r>
      <w:proofErr w:type="spellEnd"/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C42200">
        <w:rPr>
          <w:rFonts w:asciiTheme="majorBidi" w:hAnsiTheme="majorBidi" w:cstheme="majorBidi"/>
          <w:i/>
          <w:iCs/>
          <w:sz w:val="24"/>
          <w:szCs w:val="24"/>
        </w:rPr>
        <w:t>Sollamo</w:t>
      </w:r>
      <w:proofErr w:type="spellEnd"/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C42200">
        <w:rPr>
          <w:rFonts w:asciiTheme="majorBidi" w:hAnsiTheme="majorBidi" w:cstheme="majorBidi"/>
          <w:sz w:val="24"/>
          <w:szCs w:val="24"/>
        </w:rPr>
        <w:t>(SJSJ, 126; Leiden and Boston: Brill, 2008), 163–178.</w:t>
      </w:r>
    </w:p>
    <w:p w:rsidR="00855FA2" w:rsidRPr="00C42200" w:rsidRDefault="00855FA2" w:rsidP="00BD5E90">
      <w:pPr>
        <w:spacing w:after="0" w:line="240" w:lineRule="auto"/>
        <w:ind w:left="567" w:right="662" w:hanging="567"/>
        <w:rPr>
          <w:rFonts w:asciiTheme="majorBidi" w:hAnsiTheme="majorBidi" w:cstheme="majorBidi"/>
          <w:sz w:val="24"/>
          <w:szCs w:val="24"/>
        </w:rPr>
      </w:pPr>
      <w:proofErr w:type="spellStart"/>
      <w:r w:rsidRPr="00C42200">
        <w:rPr>
          <w:rFonts w:asciiTheme="majorBidi" w:hAnsiTheme="majorBidi" w:cstheme="majorBidi"/>
          <w:sz w:val="24"/>
          <w:szCs w:val="24"/>
        </w:rPr>
        <w:t>Muraoka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, </w:t>
      </w:r>
      <w:r w:rsidR="003E5327" w:rsidRPr="00C42200">
        <w:rPr>
          <w:rFonts w:asciiTheme="majorBidi" w:hAnsiTheme="majorBidi" w:cstheme="majorBidi"/>
          <w:sz w:val="24"/>
          <w:szCs w:val="24"/>
        </w:rPr>
        <w:t xml:space="preserve">T., </w:t>
      </w:r>
      <w:r w:rsidRPr="00C42200">
        <w:rPr>
          <w:rFonts w:asciiTheme="majorBidi" w:hAnsiTheme="majorBidi" w:cstheme="majorBidi"/>
          <w:sz w:val="24"/>
          <w:szCs w:val="24"/>
        </w:rPr>
        <w:t xml:space="preserve">“Recent Discussions on the Septuagint Lexicography with Special </w:t>
      </w:r>
      <w:r w:rsidR="00D86B02" w:rsidRPr="00C42200">
        <w:rPr>
          <w:rFonts w:asciiTheme="majorBidi" w:hAnsiTheme="majorBidi" w:cstheme="majorBidi"/>
          <w:sz w:val="24"/>
          <w:szCs w:val="24"/>
        </w:rPr>
        <w:t>Reference to the So-C</w:t>
      </w:r>
      <w:r w:rsidRPr="00C42200">
        <w:rPr>
          <w:rFonts w:asciiTheme="majorBidi" w:hAnsiTheme="majorBidi" w:cstheme="majorBidi"/>
          <w:sz w:val="24"/>
          <w:szCs w:val="24"/>
        </w:rPr>
        <w:t xml:space="preserve">alled Interlinear Model,” in </w:t>
      </w:r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Die </w:t>
      </w:r>
      <w:proofErr w:type="spellStart"/>
      <w:r w:rsidRPr="00C42200">
        <w:rPr>
          <w:rFonts w:asciiTheme="majorBidi" w:hAnsiTheme="majorBidi" w:cstheme="majorBidi"/>
          <w:i/>
          <w:iCs/>
          <w:sz w:val="24"/>
          <w:szCs w:val="24"/>
        </w:rPr>
        <w:t>Septuaginta</w:t>
      </w:r>
      <w:proofErr w:type="spellEnd"/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proofErr w:type="spellStart"/>
      <w:r w:rsidRPr="00C42200">
        <w:rPr>
          <w:rFonts w:asciiTheme="majorBidi" w:hAnsiTheme="majorBidi" w:cstheme="majorBidi"/>
          <w:i/>
          <w:iCs/>
          <w:sz w:val="24"/>
          <w:szCs w:val="24"/>
        </w:rPr>
        <w:t>Texte</w:t>
      </w:r>
      <w:proofErr w:type="spellEnd"/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C42200">
        <w:rPr>
          <w:rFonts w:asciiTheme="majorBidi" w:hAnsiTheme="majorBidi" w:cstheme="majorBidi"/>
          <w:i/>
          <w:iCs/>
          <w:sz w:val="24"/>
          <w:szCs w:val="24"/>
        </w:rPr>
        <w:t>Kontexte</w:t>
      </w:r>
      <w:proofErr w:type="spellEnd"/>
      <w:r w:rsidRPr="00C42200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C42200">
        <w:rPr>
          <w:rFonts w:asciiTheme="majorBidi" w:hAnsiTheme="majorBidi" w:cstheme="majorBidi"/>
          <w:i/>
          <w:iCs/>
          <w:sz w:val="24"/>
          <w:szCs w:val="24"/>
        </w:rPr>
        <w:t>Lebenswelten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 (ed. M. Karrer and W. Kraus; </w:t>
      </w:r>
      <w:proofErr w:type="spellStart"/>
      <w:r w:rsidRPr="00C42200">
        <w:rPr>
          <w:rFonts w:asciiTheme="majorBidi" w:hAnsiTheme="majorBidi" w:cstheme="majorBidi"/>
          <w:sz w:val="24"/>
          <w:szCs w:val="24"/>
        </w:rPr>
        <w:t>Tübingen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 xml:space="preserve">: J.C.B. </w:t>
      </w:r>
      <w:r w:rsidR="00377B76">
        <w:rPr>
          <w:rFonts w:asciiTheme="majorBidi" w:hAnsiTheme="majorBidi" w:cstheme="majorBidi"/>
          <w:sz w:val="24"/>
          <w:szCs w:val="24"/>
        </w:rPr>
        <w:t xml:space="preserve">Mohr [Paul </w:t>
      </w:r>
      <w:proofErr w:type="spellStart"/>
      <w:r w:rsidR="00377B76">
        <w:rPr>
          <w:rFonts w:asciiTheme="majorBidi" w:hAnsiTheme="majorBidi" w:cstheme="majorBidi"/>
          <w:sz w:val="24"/>
          <w:szCs w:val="24"/>
        </w:rPr>
        <w:t>Siebeck</w:t>
      </w:r>
      <w:proofErr w:type="spellEnd"/>
      <w:r w:rsidR="00377B76">
        <w:rPr>
          <w:rFonts w:asciiTheme="majorBidi" w:hAnsiTheme="majorBidi" w:cstheme="majorBidi"/>
          <w:sz w:val="24"/>
          <w:szCs w:val="24"/>
        </w:rPr>
        <w:t>], 2008) 221-</w:t>
      </w:r>
      <w:r w:rsidRPr="00C42200">
        <w:rPr>
          <w:rFonts w:asciiTheme="majorBidi" w:hAnsiTheme="majorBidi" w:cstheme="majorBidi"/>
          <w:sz w:val="24"/>
          <w:szCs w:val="24"/>
        </w:rPr>
        <w:t>35</w:t>
      </w:r>
      <w:r w:rsidR="00377B76">
        <w:rPr>
          <w:rFonts w:asciiTheme="majorBidi" w:hAnsiTheme="majorBidi" w:cstheme="majorBidi"/>
          <w:sz w:val="24"/>
          <w:szCs w:val="24"/>
        </w:rPr>
        <w:t>.</w:t>
      </w:r>
    </w:p>
    <w:p w:rsidR="00855FA2" w:rsidRPr="00C42200" w:rsidRDefault="00855FA2" w:rsidP="00BD5E90">
      <w:pPr>
        <w:spacing w:after="0" w:line="240" w:lineRule="auto"/>
        <w:ind w:left="567" w:right="662" w:hanging="567"/>
        <w:rPr>
          <w:rFonts w:asciiTheme="majorBidi" w:hAnsiTheme="majorBidi" w:cstheme="majorBidi"/>
          <w:sz w:val="24"/>
          <w:szCs w:val="24"/>
        </w:rPr>
      </w:pPr>
      <w:proofErr w:type="spellStart"/>
      <w:r w:rsidRPr="00C42200">
        <w:rPr>
          <w:rFonts w:asciiTheme="majorBidi" w:hAnsiTheme="majorBidi" w:cstheme="majorBidi"/>
          <w:sz w:val="24"/>
          <w:szCs w:val="24"/>
        </w:rPr>
        <w:lastRenderedPageBreak/>
        <w:t>Pietersma</w:t>
      </w:r>
      <w:proofErr w:type="spellEnd"/>
      <w:r w:rsidRPr="00C42200">
        <w:rPr>
          <w:rFonts w:asciiTheme="majorBidi" w:hAnsiTheme="majorBidi" w:cstheme="majorBidi"/>
          <w:sz w:val="24"/>
          <w:szCs w:val="24"/>
        </w:rPr>
        <w:t>, A., “A New Paradigm for Addressing Old Questions: The Relevance of the</w:t>
      </w:r>
      <w:r w:rsidR="003E5327" w:rsidRPr="00C42200">
        <w:rPr>
          <w:rFonts w:asciiTheme="majorBidi" w:hAnsiTheme="majorBidi" w:cstheme="majorBidi"/>
          <w:sz w:val="24"/>
          <w:szCs w:val="24"/>
        </w:rPr>
        <w:t xml:space="preserve"> </w:t>
      </w:r>
      <w:r w:rsidRPr="00C42200">
        <w:rPr>
          <w:rFonts w:asciiTheme="majorBidi" w:hAnsiTheme="majorBidi" w:cstheme="majorBidi"/>
          <w:sz w:val="24"/>
          <w:szCs w:val="24"/>
        </w:rPr>
        <w:t xml:space="preserve">Interlinear Model for the Study of the Septuagint,” in </w:t>
      </w:r>
      <w:r w:rsidRPr="00C42200">
        <w:rPr>
          <w:rFonts w:asciiTheme="majorBidi" w:hAnsiTheme="majorBidi" w:cstheme="majorBidi"/>
          <w:i/>
          <w:iCs/>
          <w:sz w:val="24"/>
          <w:szCs w:val="24"/>
        </w:rPr>
        <w:t>Bible and Computer</w:t>
      </w:r>
      <w:r w:rsidRPr="00C42200">
        <w:rPr>
          <w:rFonts w:asciiTheme="majorBidi" w:hAnsiTheme="majorBidi" w:cstheme="majorBidi"/>
          <w:sz w:val="24"/>
          <w:szCs w:val="24"/>
        </w:rPr>
        <w:t xml:space="preserve"> (ed. J. Cook; Leiden, 2002), 337-64.</w:t>
      </w:r>
    </w:p>
    <w:p w:rsidR="00981D75" w:rsidRDefault="00981D75" w:rsidP="00A6407D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5C2A8E" w:rsidRPr="005C2A8E" w:rsidRDefault="005C2A8E" w:rsidP="00BD5E90">
      <w:pPr>
        <w:spacing w:after="0" w:line="240" w:lineRule="auto"/>
      </w:pPr>
    </w:p>
    <w:p w:rsidR="006D2226" w:rsidRDefault="00A6407D" w:rsidP="00BD5E9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Further Tools</w:t>
      </w:r>
    </w:p>
    <w:p w:rsidR="00377B76" w:rsidRPr="00C42200" w:rsidRDefault="00377B76" w:rsidP="00377B76">
      <w:pPr>
        <w:spacing w:after="0" w:line="240" w:lineRule="auto"/>
        <w:ind w:left="567" w:right="662" w:hanging="567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Hatch, Edwin, Henry A. </w:t>
      </w:r>
      <w:proofErr w:type="spellStart"/>
      <w:r w:rsidRPr="00C42200">
        <w:rPr>
          <w:rFonts w:asciiTheme="majorBidi" w:eastAsia="Times New Roman" w:hAnsiTheme="majorBidi" w:cstheme="majorBidi"/>
          <w:sz w:val="24"/>
          <w:szCs w:val="24"/>
        </w:rPr>
        <w:t>Redpath</w:t>
      </w:r>
      <w:proofErr w:type="spellEnd"/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C42200">
        <w:rPr>
          <w:rFonts w:asciiTheme="majorBidi" w:eastAsia="Times New Roman" w:hAnsiTheme="majorBidi" w:cstheme="majorBidi"/>
          <w:i/>
          <w:iCs/>
          <w:sz w:val="24"/>
          <w:szCs w:val="24"/>
        </w:rPr>
        <w:t>A Concordance to the Septuagint: and the other Greek Versions of the Old Testament - Including the Apocryphal Books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 xml:space="preserve"> (Second edition, two vol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umes in one; Includes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Muraoka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>, “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>Hebrew/Aramai</w:t>
      </w:r>
      <w:r>
        <w:rPr>
          <w:rFonts w:asciiTheme="majorBidi" w:eastAsia="Times New Roman" w:hAnsiTheme="majorBidi" w:cstheme="majorBidi"/>
          <w:sz w:val="24"/>
          <w:szCs w:val="24"/>
        </w:rPr>
        <w:t>c Index”</w:t>
      </w:r>
      <w:r w:rsidRPr="00C42200">
        <w:rPr>
          <w:rFonts w:asciiTheme="majorBidi" w:eastAsia="Times New Roman" w:hAnsiTheme="majorBidi" w:cstheme="majorBidi"/>
          <w:sz w:val="24"/>
          <w:szCs w:val="24"/>
        </w:rPr>
        <w:t>; Baker Academic, 1998).</w:t>
      </w:r>
    </w:p>
    <w:p w:rsidR="00377B76" w:rsidRDefault="00377B76" w:rsidP="00377B76">
      <w:pPr>
        <w:spacing w:after="0" w:line="240" w:lineRule="auto"/>
        <w:ind w:left="567" w:hanging="567"/>
        <w:rPr>
          <w:rFonts w:asciiTheme="majorBidi" w:hAnsiTheme="majorBidi" w:cstheme="majorBidi"/>
          <w:sz w:val="24"/>
          <w:szCs w:val="24"/>
        </w:rPr>
      </w:pPr>
      <w:proofErr w:type="spellStart"/>
      <w:r w:rsidRPr="00377B76">
        <w:rPr>
          <w:rFonts w:asciiTheme="majorBidi" w:hAnsiTheme="majorBidi" w:cstheme="majorBidi"/>
          <w:sz w:val="24"/>
          <w:szCs w:val="24"/>
        </w:rPr>
        <w:t>Muraoka</w:t>
      </w:r>
      <w:proofErr w:type="spellEnd"/>
      <w:r w:rsidRPr="00377B76">
        <w:rPr>
          <w:rFonts w:asciiTheme="majorBidi" w:hAnsiTheme="majorBidi" w:cstheme="majorBidi"/>
          <w:sz w:val="24"/>
          <w:szCs w:val="24"/>
        </w:rPr>
        <w:t xml:space="preserve">, T., </w:t>
      </w:r>
      <w:r w:rsidRPr="00377B76">
        <w:rPr>
          <w:rFonts w:asciiTheme="majorBidi" w:hAnsiTheme="majorBidi" w:cstheme="majorBidi"/>
          <w:i/>
          <w:iCs/>
          <w:sz w:val="24"/>
          <w:szCs w:val="24"/>
        </w:rPr>
        <w:t>Hebrew/Aramaic index to the Septuagint: keyed to the Hatch-</w:t>
      </w:r>
      <w:proofErr w:type="spellStart"/>
      <w:r w:rsidRPr="00377B76">
        <w:rPr>
          <w:rFonts w:asciiTheme="majorBidi" w:hAnsiTheme="majorBidi" w:cstheme="majorBidi"/>
          <w:i/>
          <w:iCs/>
          <w:sz w:val="24"/>
          <w:szCs w:val="24"/>
        </w:rPr>
        <w:t>Redpath</w:t>
      </w:r>
      <w:proofErr w:type="spellEnd"/>
      <w:r w:rsidRPr="00377B76">
        <w:rPr>
          <w:rFonts w:asciiTheme="majorBidi" w:hAnsiTheme="majorBidi" w:cstheme="majorBidi"/>
          <w:i/>
          <w:iCs/>
          <w:sz w:val="24"/>
          <w:szCs w:val="24"/>
        </w:rPr>
        <w:t xml:space="preserve"> concordance</w:t>
      </w:r>
      <w:r w:rsidRPr="00377B76">
        <w:rPr>
          <w:rFonts w:asciiTheme="majorBidi" w:hAnsiTheme="majorBidi" w:cstheme="majorBidi"/>
          <w:sz w:val="24"/>
          <w:szCs w:val="24"/>
        </w:rPr>
        <w:t xml:space="preserve"> (Grand Rapids, Mich.: Baker Books, 1998).</w:t>
      </w:r>
    </w:p>
    <w:p w:rsidR="00377B76" w:rsidRDefault="00377B76" w:rsidP="00BD5E9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377B76" w:rsidSect="0046351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F68" w:rsidRDefault="00731F68" w:rsidP="00F45A94">
      <w:pPr>
        <w:spacing w:after="0" w:line="240" w:lineRule="auto"/>
      </w:pPr>
      <w:r>
        <w:separator/>
      </w:r>
    </w:p>
  </w:endnote>
  <w:endnote w:type="continuationSeparator" w:id="0">
    <w:p w:rsidR="00731F68" w:rsidRDefault="00731F68" w:rsidP="00F4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74284"/>
      <w:docPartObj>
        <w:docPartGallery w:val="Page Numbers (Bottom of Page)"/>
        <w:docPartUnique/>
      </w:docPartObj>
    </w:sdtPr>
    <w:sdtContent>
      <w:p w:rsidR="00C42200" w:rsidRDefault="006553CA">
        <w:pPr>
          <w:pStyle w:val="Footer"/>
          <w:jc w:val="center"/>
        </w:pPr>
        <w:fldSimple w:instr=" PAGE   \* MERGEFORMAT ">
          <w:r w:rsidR="00A6407D">
            <w:rPr>
              <w:noProof/>
            </w:rPr>
            <w:t>3</w:t>
          </w:r>
        </w:fldSimple>
      </w:p>
    </w:sdtContent>
  </w:sdt>
  <w:p w:rsidR="00C42200" w:rsidRDefault="00C422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F68" w:rsidRDefault="00731F68" w:rsidP="00F45A94">
      <w:pPr>
        <w:spacing w:after="0" w:line="240" w:lineRule="auto"/>
      </w:pPr>
      <w:r>
        <w:separator/>
      </w:r>
    </w:p>
  </w:footnote>
  <w:footnote w:type="continuationSeparator" w:id="0">
    <w:p w:rsidR="00731F68" w:rsidRDefault="00731F68" w:rsidP="00F45A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2692"/>
    <w:multiLevelType w:val="hybridMultilevel"/>
    <w:tmpl w:val="CDBE7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172C3"/>
    <w:multiLevelType w:val="hybridMultilevel"/>
    <w:tmpl w:val="FC7E02E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76308D"/>
    <w:multiLevelType w:val="hybridMultilevel"/>
    <w:tmpl w:val="909C3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D9320A"/>
    <w:multiLevelType w:val="hybridMultilevel"/>
    <w:tmpl w:val="C804F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46BA2"/>
    <w:multiLevelType w:val="hybridMultilevel"/>
    <w:tmpl w:val="FA40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04632A"/>
    <w:multiLevelType w:val="hybridMultilevel"/>
    <w:tmpl w:val="19FC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5FA2"/>
    <w:rsid w:val="000A29CE"/>
    <w:rsid w:val="001C38C2"/>
    <w:rsid w:val="00281FD1"/>
    <w:rsid w:val="00377B76"/>
    <w:rsid w:val="003E5327"/>
    <w:rsid w:val="00463512"/>
    <w:rsid w:val="0056344F"/>
    <w:rsid w:val="005C2A8E"/>
    <w:rsid w:val="006553CA"/>
    <w:rsid w:val="0066269A"/>
    <w:rsid w:val="006D2226"/>
    <w:rsid w:val="00731F68"/>
    <w:rsid w:val="0074123E"/>
    <w:rsid w:val="00855FA2"/>
    <w:rsid w:val="008C168A"/>
    <w:rsid w:val="008D4E43"/>
    <w:rsid w:val="00900C11"/>
    <w:rsid w:val="00981D75"/>
    <w:rsid w:val="0099054F"/>
    <w:rsid w:val="00A6407D"/>
    <w:rsid w:val="00AB4726"/>
    <w:rsid w:val="00B01112"/>
    <w:rsid w:val="00B72B72"/>
    <w:rsid w:val="00BA3598"/>
    <w:rsid w:val="00BD5E90"/>
    <w:rsid w:val="00C42200"/>
    <w:rsid w:val="00CF5F21"/>
    <w:rsid w:val="00D1085D"/>
    <w:rsid w:val="00D86B02"/>
    <w:rsid w:val="00E54CAE"/>
    <w:rsid w:val="00EF19E2"/>
    <w:rsid w:val="00EF6C11"/>
    <w:rsid w:val="00F358CC"/>
    <w:rsid w:val="00F45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FA2"/>
    <w:pPr>
      <w:spacing w:after="200" w:line="276" w:lineRule="auto"/>
    </w:pPr>
    <w:rPr>
      <w:rFonts w:eastAsiaTheme="minorEastAsia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FA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FA2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FA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FA2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55FA2"/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855FA2"/>
    <w:rPr>
      <w:rFonts w:asciiTheme="majorHAnsi" w:eastAsiaTheme="majorEastAsia" w:hAnsiTheme="majorHAnsi" w:cstheme="majorBidi"/>
      <w:b/>
      <w:bCs/>
      <w:lang w:val="en-US" w:bidi="en-US"/>
    </w:rPr>
  </w:style>
  <w:style w:type="character" w:customStyle="1" w:styleId="booktitle1">
    <w:name w:val="booktitle1"/>
    <w:basedOn w:val="DefaultParagraphFont"/>
    <w:rsid w:val="00855FA2"/>
    <w:rPr>
      <w:rFonts w:ascii="Verdana" w:hAnsi="Verdana"/>
      <w:b w:val="0"/>
      <w:bCs w:val="0"/>
      <w:i w:val="0"/>
      <w:iCs w:val="0"/>
      <w:sz w:val="24"/>
      <w:szCs w:val="24"/>
    </w:rPr>
  </w:style>
  <w:style w:type="character" w:customStyle="1" w:styleId="bookinfo1">
    <w:name w:val="bookinfo1"/>
    <w:basedOn w:val="DefaultParagraphFont"/>
    <w:rsid w:val="00855FA2"/>
    <w:rPr>
      <w:rFonts w:ascii="Verdana" w:hAnsi="Verdana"/>
      <w:b w:val="0"/>
      <w:bCs w:val="0"/>
      <w:i w:val="0"/>
      <w:iCs w:val="0"/>
      <w:sz w:val="22"/>
      <w:szCs w:val="22"/>
    </w:rPr>
  </w:style>
  <w:style w:type="paragraph" w:styleId="ListParagraph">
    <w:name w:val="List Paragraph"/>
    <w:basedOn w:val="Normal"/>
    <w:uiPriority w:val="34"/>
    <w:qFormat/>
    <w:rsid w:val="00B72B7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F45A94"/>
    <w:rPr>
      <w:rFonts w:ascii="Times New Roman" w:eastAsia="Calibri" w:hAnsi="Times New Roman" w:cs="Arial"/>
      <w:sz w:val="20"/>
      <w:szCs w:val="20"/>
      <w:lang w:val="en-GB" w:bidi="he-I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5A94"/>
    <w:rPr>
      <w:rFonts w:ascii="Times New Roman" w:eastAsia="Calibri" w:hAnsi="Times New Roman" w:cs="Arial"/>
      <w:sz w:val="20"/>
      <w:szCs w:val="20"/>
      <w:lang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F45A94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42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2200"/>
    <w:rPr>
      <w:rFonts w:eastAsiaTheme="minorEastAsia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C42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200"/>
    <w:rPr>
      <w:rFonts w:eastAsiaTheme="minorEastAsia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F21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92596-4D0B-4E12-9947-D12A5248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jaitken</dc:creator>
  <cp:lastModifiedBy>jaitken</cp:lastModifiedBy>
  <cp:revision>3</cp:revision>
  <cp:lastPrinted>2012-11-26T21:02:00Z</cp:lastPrinted>
  <dcterms:created xsi:type="dcterms:W3CDTF">2014-02-05T17:05:00Z</dcterms:created>
  <dcterms:modified xsi:type="dcterms:W3CDTF">2014-02-05T17:06:00Z</dcterms:modified>
</cp:coreProperties>
</file>